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市科技重大专项“揭榜挂帅”项目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br w:type="textWrapping"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实施方案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（修订）</w:t>
      </w:r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topLinePunct w:val="0"/>
        <w:bidi w:val="0"/>
        <w:spacing w:after="0" w:line="560" w:lineRule="exact"/>
        <w:ind w:left="420"/>
        <w:jc w:val="lef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市委市政府统一部署，制定市科技重大专项“揭榜挂帅”项目实施方案。</w:t>
      </w:r>
    </w:p>
    <w:p>
      <w:pPr>
        <w:keepNext w:val="0"/>
        <w:keepLines w:val="0"/>
        <w:pageBreakBefore w:val="0"/>
        <w:widowControl/>
        <w:tabs>
          <w:tab w:val="left" w:pos="6754"/>
        </w:tabs>
        <w:kinsoku/>
        <w:wordWrap/>
        <w:topLinePunct w:val="0"/>
        <w:bidi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一、支持原则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1.坚持技术标准参数化。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对标国际先进指标开展研发，实现进口替代；突出无中生有，抢占技术制高点。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2.坚持技术成果产品化。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形成终端产品、成套设备、核心元器件、软件、新材料、新品种、新药等。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3.坚持技术研发协同化。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企业出卷、院所答卷、市场阅卷。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4.坚持财政资金放大化。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市财政资金不超过揭榜金额的50%，撬动社会资金投入。</w:t>
      </w:r>
    </w:p>
    <w:p>
      <w:pPr>
        <w:keepNext w:val="0"/>
        <w:keepLines w:val="0"/>
        <w:pageBreakBefore w:val="0"/>
        <w:widowControl/>
        <w:tabs>
          <w:tab w:val="left" w:pos="6754"/>
        </w:tabs>
        <w:kinsoku/>
        <w:wordWrap/>
        <w:topLinePunct w:val="0"/>
        <w:bidi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二、支持领域与对象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1.支持领域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聚焦集成电路、新型显示、量子、空天信息、人工智能、新能源汽车和智能网联汽车、生物医药、新材料、高端装备、节能环保、光伏及新能源、种质资源等重点产业链“卡脖子”技术、关键共性技术；聚焦类脑智能、高温超导储能、超高温磁场共振成像、精准医疗、大基因、第三代半导体等未来先导产业的前沿引领技术、颠覆性技术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2.支持对象。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发榜方为具有独立法人资格的企业，上年度研发投入不低于销售收入的3%或研发投入不低于5000万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。揭榜方原则上为高校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科研院所、新型研发机构、国家高新技术企业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以及团队和个人。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揭榜方和发榜方没有关联关系。项目揭榜金额不低于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00万元。</w:t>
      </w:r>
    </w:p>
    <w:p>
      <w:pPr>
        <w:keepNext w:val="0"/>
        <w:keepLines w:val="0"/>
        <w:pageBreakBefore w:val="0"/>
        <w:widowControl/>
        <w:tabs>
          <w:tab w:val="left" w:pos="6754"/>
        </w:tabs>
        <w:kinsoku/>
        <w:wordWrap/>
        <w:topLinePunct w:val="0"/>
        <w:bidi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三、立项过程与服务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1.申报审查。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项目实行全年常态化需求征集，定期组织项目揭榜发榜和申报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明确申报对象及条件，发榜方提出的重大技术需求原则上与单位主营业务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及其需求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紧密相关，明确产业领域、技术领域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技术指标和交付成果等。市科技局组织对申报材料进行形式审查。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2.揭榜入库。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对形式审查通过的项目进行公开发榜，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通过路演、双需对接等方式积极促进对接揭榜，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成功揭榜的项目纳入市重大科技项目库，入库项目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按年度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动态调整、梯次培育。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3.评审推荐。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对入库项目组织技术、产业专家、投资专家进行评审提出拟支持项目，评审包括会议答辩与实地考察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（会议答辩阶段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材料评审与答辩分值权重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占60%、40%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会议答辩与实地考察分值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权重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各占50%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提交市科技局集体审议。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4.审定立项。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经部门联审查重和公开公示后，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由分管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牵头，市科技局、市发改委、市经信局、市财政局、市投促局等部门参加，对评审结果进行把关，报市政府审定。根据审定结果，市科技局下达立项计划。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5.资金拨付。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对成功揭榜并立项的项目，市财政给予发榜方单个项目最高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00万元支持。项目实施期3年，医药领域等个别项目实施期可为5年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，财政支持资金分年度拨付，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立项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拨付首笔款项，不超过发榜方向揭榜方拨付首笔资金的50%，且不超过财政资金的50%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，次年度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拨付资金不超过财政资金的80%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5年期项目第3年拨付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项目验收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通过后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拨付剩余资金。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6.绩效管理。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项目承担单位辖区科技主管部门为项目归口管理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部门。归口管理部门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要加强项目过程管理，指导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承担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单位编制绩效目标，开展绩效运行监控，强化绩效评价结果公开和运用。项目承担单位要切实加强绩效管理，引导科研资源向优秀人才和团队倾斜，提高科研经费使用效益。</w:t>
      </w:r>
    </w:p>
    <w:p>
      <w:pPr>
        <w:keepNext w:val="0"/>
        <w:keepLines w:val="0"/>
        <w:pageBreakBefore w:val="0"/>
        <w:widowControl/>
        <w:tabs>
          <w:tab w:val="left" w:pos="6754"/>
        </w:tabs>
        <w:kinsoku/>
        <w:wordWrap/>
        <w:topLinePunct w:val="0"/>
        <w:bidi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四、有关责任与说明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申报单位对申报材料的真实性负责，辖区科技主管部门对审核推荐负责，评审专家对出具意见的客观公正性负责。对弄虚作假，骗取资金的，予以撤销项目追回财政资金，并纳入合肥市产业政策综合服务平台黑名单库，2年内不得申报各类政策项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情节严重的，将依法追究相关单位和人员责任。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市科技重大专项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评价指标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44"/>
          <w:szCs w:val="44"/>
        </w:rPr>
        <w:t>市</w:t>
      </w:r>
      <w:r>
        <w:rPr>
          <w:rFonts w:hint="default" w:ascii="Times New Roman" w:hAnsi="Times New Roman" w:eastAsia="方正黑体_GBK" w:cs="Times New Roman"/>
          <w:bCs/>
          <w:sz w:val="44"/>
          <w:szCs w:val="44"/>
          <w:shd w:val="clear" w:color="auto" w:fill="FFFFFF"/>
        </w:rPr>
        <w:t>科技重大专项评价指标</w:t>
      </w:r>
    </w:p>
    <w:tbl>
      <w:tblPr>
        <w:tblStyle w:val="4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指标</w:t>
            </w: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评价内容及标准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技术水平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（分值40分）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（对比国际主要产品及技术参数指标）</w:t>
            </w: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：前沿引领技术、颠覆性技术、国际首创或国际领先（35—40分）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较高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：实现进口替代，且解决关键“卡脖子”问题（25—34分）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：实现进口替代，非“卡脖子”问题（10—24分）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：常规技术（0—9分）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成果形式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（分值20分）</w:t>
            </w: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有独立成套（件）的关键产品设备及核心元器件（15—20分）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关键新材料、成套系统或应用软件、动植物新品种、新药等（0—14分）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市场前景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（分值20分）</w:t>
            </w: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：有重大产业化价值，市场容量巨大，规模化生产和常态化应用前景非常广阔（15—20分）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：有较强产业化价值，市场容量较大，规模化生产和常态化应用前景较为广阔（10—14分）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：有一定产业化价值，在部分产业领域有一定的规模化生产和常态化应用前景（0—9分）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企业配套能力（分值20分）</w:t>
            </w: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：企业经营状况优异，研发投入资金充裕，高度匹配项目研发工作（15—20分）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127" w:type="dxa"/>
            <w:vMerge w:val="continue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：企业经营状况良好，有较大研发投入资金，较好匹配项目研发工作（10—14分）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127" w:type="dxa"/>
            <w:vMerge w:val="continue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：企业经营状况一般，有一定研发投入资金，与项目研发工作有一定匹配度（0—9分）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DcxZWQwZmViMGEyZjdlNzA4Mjc3MmRhNzIzMDUifQ=="/>
  </w:docVars>
  <w:rsids>
    <w:rsidRoot w:val="7DEA6CCE"/>
    <w:rsid w:val="1C2F2E9F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customStyle="1" w:styleId="6">
    <w:name w:val="BodyTextIndent2"/>
    <w:qFormat/>
    <w:uiPriority w:val="0"/>
    <w:pPr>
      <w:widowControl/>
      <w:suppressAutoHyphens/>
      <w:spacing w:after="120" w:line="480" w:lineRule="auto"/>
      <w:ind w:left="200" w:leftChars="200"/>
      <w:jc w:val="lef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1783</Words>
  <Characters>1864</Characters>
  <Lines>0</Lines>
  <Paragraphs>0</Paragraphs>
  <TotalTime>2</TotalTime>
  <ScaleCrop>false</ScaleCrop>
  <LinksUpToDate>false</LinksUpToDate>
  <CharactersWithSpaces>1864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2023-09-01T02:28:00Z</dcterms:created>
  <dc:creator>熊世勇</dc:creator>
  <cp:lastModifiedBy>熊世勇</cp:lastModifiedBy>
  <dcterms:modified xsi:type="dcterms:W3CDTF">2023-09-01T08:07:06Z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057292ACE37F486C9D4007B2C6A98506_11</vt:lpwstr>
  </property>
</Properties>
</file>